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645</w:t>
      </w:r>
    </w:p>
    <w:p>
      <w:r>
        <w:t>Bundesgericht (BGE), 2004-06-10, DE</w:t>
      </w:r>
    </w:p>
    <w:p>
      <w:r>
        <w:rPr>
          <w:b/>
        </w:rPr>
        <w:t xml:space="preserve">Quelle: </w:t>
      </w:r>
      <w:r>
        <w:t>https://mcp.opencaselaw.ch/entscheid/bge_130 III 645</w:t>
      </w:r>
    </w:p>
    <w:p>
      <w:r>
        <w:t>FR: ATF 130 III 645</w:t>
      </w:r>
    </w:p>
    <w:p>
      <w:r>
        <w:t>IT: DTF 130 III 645</w:t>
      </w:r>
    </w:p>
    <w:p>
      <w:pPr>
        <w:pStyle w:val="Heading2"/>
      </w:pPr>
      <w:r>
        <w:t>Regeste</w:t>
      </w:r>
    </w:p>
    <w:p>
      <w:r>
        <w:t>Regeste Art. 8 und 9 DesG, Art. 24 MMG; Schutzbereich des Designs bzw. Modells. Kriterien für die Beurteilung der Frage, ob eine Uhr das entsprechende hinterlegte Modell bzw. Design verletzt (E. 3).</w:t>
      </w:r>
    </w:p>
    <w:p>
      <w:pPr>
        <w:pStyle w:val="Heading2"/>
      </w:pPr>
      <w:r>
        <w:t>Erwägungen</w:t>
      </w:r>
    </w:p>
    <w:p>
      <w:r>
        <w:rPr>
          <w:b/>
        </w:rPr>
        <w:t>E. 3.1</w:t>
      </w:r>
    </w:p>
    <w:p>
      <w:r>
        <w:t>Nach Art. 8 des Bundesgesetzes vom 5. Oktober 2001 über den Schutz von Design (DesG; SR 232.12) erstreckt sich der Schutz des Designrechts auf Designs, welche die gleichen wesentlichen Merkmale aufweisen und dadurch den gleichen Gesamteindruck erwecken wie ein bereits eingetragenes Design. Gemäss Art. 9 DesG verleiht das Designrecht dem Rechtsinhaber das Recht, anderen zu verbieten, das Design zu gewerblichen Zwecken zu gebrauchen. Für die Definition des Schutzbereichs des Designrechts ist der Gesamteindruck massgebend, der namentlich durch die wesentlichen Merkmale bestimmt wird, wie sie sich einem am Kauf interessierten Verbraucher präsentieren. Dabei ist für die Beurteilung massgebend, wie der Kaufinteressent die in Frage stehenden Gebrauchsgegenstände in kurzfristiger Erinnerung behält ( BGE 129 III 545 E. 2 S. 548 ff. mit weiteren Hinweisen). Demgegenüber ist der Schutzumfang nach den Bestimmungen des Bundesgesetzes vom 30. März 1900 betreffend die gewerblichen Muster und Modelle (MMG; BS 2, 873) etwas enger gefasst. Nach Art. 24 Ziff. 1 MMG ist eine Nachahmung eines hinterlegten Modells widerrechtlich, wenn eine Verschiedenheit nur bei sorgfältigem Vergleich wahrgenommen werden kann, wobei eine blosse Farbänderung nicht als Verschiedenheit gilt. Im Vergleich zum BGE 130 III 645 S. 648 DesG geht das MMG insoweit von einem etwas engeren Begriff der Nachahmung aus, als das hinterlegte und das widerrechtlich hergestellte Modell nebeneinander zu halten und gleichzeitig zu betrachten sind (sog. synoptischer Vergleich), und im Unterschied zum DesG nicht auf das blosse Erinnerungsbild abzustellen ist. Gleich wie beim Designrecht ist auch im Anwendungsbereich des Modellrechts der Gesamteindruck massgebend, der namentlich durch die wesentlichen Merkmale bestimmt wird, wie sie sich einem am Kauf interessierten Verbraucher präsentieren ( BGE 104 II 322 E. 4 S. 329 f. mit weiteren Hinweisen; Urteil 4C.205/1988 vom 22. November 1988 ["Tausendfüssler"], E. 3a mit weiteren Hinweisen, publ. in: SMI 1989 S. 105).</w:t>
      </w:r>
    </w:p>
    <w:p>
      <w:r>
        <w:rPr>
          <w:b/>
        </w:rPr>
        <w:t>E. 3.2</w:t>
      </w:r>
    </w:p>
    <w:p>
      <w:r>
        <w:t>Zunächst ist zu prüfen, ob das quadratische Armbanduhrenmodell der Beklagten das klägerische Modell DM/034 818 verletzt. Hinterlegtes Modell der Klägerin DM/034 818 Umstrittenes Modell der Beklagten Nach der hinterlegten Abbildung in der Frontansicht handelt es sich beim klägerischen Modell um eine mehr oder weniger quadratische Uhr mit breiter Lunette, quadratischem Glasausschnitt und nach innen gesetzten Bandanstössen. Die beklagtische Uhr ist mit dem hinterlegten Modell in Bezug auf die quadratische Form und die breite Lunette vergleichbar. Demgegenüber weist insbesondere die Gestaltung des Zifferblatts des hinterlegten Modells keine nennenswerten Ähnlichkeiten mit dem Zifferblatt der beklagtischen Uhr auf. Das klägerische Modell verfügt nur über vier grosse römische Ziffern, die beinahe bis in die Mitte des Zifferblattes reichen, sowie acht radial angeordnete Stundenstriche ohne Ziffern. Insgesamt hinterlassen die grossen römischen Ziffern und die radial angeordneten BGE 130 III 645 S. 649 Stundenstriche den prägenden Eindruck bei der Betrachtung des klägerischen Modells. Anders verhält es sich beim Zifferblatt der beklagtischen Uhr. Im Unterschied zum klägerischen Modell verfügt diese Uhr über 12 kleine, im Rechteck angeordnete römische Ziffern. Die kleinen römischen Ziffern, die nur am Rand des Zifferblatts angeordnet sind, führen zu einem anderen Erscheinungsbild als beim Zifferblatt des klägerischen Modells. Abgesehen vom Zifferblatt unterscheiden sich die beiden Uhren auch durch unterschiedliche Kronen. Schliesslich ist das klägerische Modell mit einem Lederarmband versehen, während bei der beklagtischen Uhr ein Metallarmband verwendet wird. Nicht überzeugend ist der Hinweis der Klägerin, blosse Materialunterschiede bezüglich der Armbänder begründeten keine Verschiedenheit im Sinn des Gesetzes. Zwar geht die Rechtsprechung und Lehre davon aus, dass der Modellschutz den Formenschutz bezwecke und dass blosse Materialunterschiede beim Durchschnittsbetrachter in der Regel nicht auffallen (Urteil 4C.205/1988 vom 22. November 1988 ["Tausendfüssler"], publ. in: SMI 1989 S. 105 ff., E. 3b/cc, S. 111; VON BÜREN/MARBACH, Immaterialgüter- und Wettbewerbsrecht, 2. Aufl., Bern 2002, S. 96, Rz. 479). Im vorliegenden Fall unterscheiden sich indessen das Lederarmband des klägerischen Modells und das Metallarmband der beklagtischen Uhr entgegen der Darstellung der Klägerin nicht nur hinsichtlich des verwendeten Materials, sondern auch in Bezug auf die Konstruktion. Im Unterschied zum Lederarmband ist ein Metallarmband nämlich in aller Regel aus verschiedenen, ineinander greifenden Gliedern zusammengesetzt. Dieser Umstand darf bei der Beurteilung des Modell- bzw. Designschutzes in seiner Eigenschaft als Formenschutz berücksichtigt werden. Insgesamt kann somit festgehalten werden, dass sich die Übereinstimmung im Wesentlichen auf die quadratische Form und die breiten Lunetten beschränkt, wobei zu bemerken ist, dass die quadratische Gehäuseform bei Armbanduhren gelegentlich anzutreffen ist und insofern nicht besonders originell erscheint. Im Vergleich zu den Gemeinsamkeiten fallen die Unterschiede nach der hier vertretenen Auffassung mehr ins Gewicht. Insbesondere in Bezug auf das Zifferblatt hat die Vorinstanz zutreffend auf die erwähnten Unterschiede hingewiesen, die sofort auffallen. Ebenfalls hinzuweisen ist auf die unterschiedlich konstruierten Armbänder und die verschiedenen Kronen, die allerdings als Unterscheidungsmerkmale weniger stark ins Gewicht fallen. Auch wenn insgesamt ein Grenzfall BGE 130 III 645 S. 650 vorliegen mag, ist aufgrund des Gesamteindrucks, den die beiden Uhren beim Normalverbraucher hinterlassen, davon auszugehen, dass sowohl bei einem synoptischen Vergleich ( Art. 24 MMG ) als auch bei einer Berücksichtigung des Gesamteindrucks in der kurzfristigen Erinnerung ( Art. 9 DesG ) die Verschiedenheiten im Vordergrund stehen, während die Gemeinsamkeiten eher in den Hintergrund treten.</w:t>
      </w:r>
    </w:p>
    <w:p>
      <w:r>
        <w:rPr>
          <w:b/>
        </w:rPr>
        <w:t>E. 3.3</w:t>
      </w:r>
    </w:p>
    <w:p>
      <w:r>
        <w:t>Weiter wird geltend gemacht, die im Klagebegehren genannte runde Uhr verletze das klägerische Modell DM/035 899 mit rundem Gehäuse. Hinterlegtes Modell der Klägerin DM/035 899 Umstrittenes Modell der Beklagten Nach der hinterlegten Abbildung in der Frontansicht handelt es sich beim klägerischen Modell um eine runde Uhr mit breiter Lunette. Das Besondere an diesem Modell ist, dass die Lunette und das Zifferblatt an den Bandansätzen abgeflacht sind. Wie das klägerische Modell weist auch die Armbanduhr der Beklagten die gleiche runde Gehäuseform und eine breite Lunette auf. Übereinstimmend ist insbesondere auch die Eigenheit, dass die Lunette und das Zifferblatt an den Bandansätzen abgeflacht sind. Im Übrigen unterscheiden sich aber die beiden Uhren in verschiedener Hinsicht. Auch bei diesen Uhren weisen insbesondere die Zifferblätter offenkundige Unterscheidungsmerkmale auf. Während das klägerische Modell über ein Zifferblatt mit arabischen Ziffern und eine Datumsanzeige bei der 6 verfügt, ist das Zifferblatt der beklagtischen Uhr, die über keine Datumsanzeige verfügt, mit römischen Ziffern versehen. Hinzu kommen Unterschiede bei den Armbändern, die wie bereits erwähnt bei der Beurteilung des Gesamteindrucks berücksichtigt BGE 130 III 645 S. 651 werden können (vgl. E. 3.2). Während das klägerische Modell über ein Armband verfügt, das bei den Bandanstössen breiter wird, ist die beklagtische Uhr mit einem metallenen Armband von gleichmässiger Breite versehen. Insgesamt hat die Vorinstanz zutreffend festgehalten, dass die besondere Form von Lunette und Zifferblatt, die bei den Bandansätzen abgeflacht sind, dem klägerischen Modell eine gewisse Originalität verleiht. Insofern stimmt die beklagtische Uhr mit dem hinterlegten Modell überein. Abgesehen von diesen Gemeinsamkeiten sind aber auch bedeutende Unterschiede festzustellen. Insbesondere in Bezug auf die Zifferblätter hat die Vorinstanz zutreffend die erwähnten Unterschiede namhaft gemacht, die sofort auffallen. Ebenfalls hinzuweisen ist auf die unterschiedlich gestalteten Armbänder und die verschiedenen Kronen, die allerdings als Unterscheidungsmerkmale weniger stark ins Gewicht fallen. Aufgrund des Gesamteindrucks, den die beiden Uhren beim Normalverbraucher hinterlassen, stehen daher sowohl bei einem synoptischen Vergleich ( Art. 24 MMG ) als auch einer Berücksichtigung des Gesamteindrucks in der kurzfristigen Erinnerung ( Art. 9 DesG ) die Verschiedenheiten im Vordergrund, während die Gemeinsamkeiten in den Hintergrund treten.</w:t>
      </w:r>
    </w:p>
    <w:p>
      <w:r>
        <w:rPr>
          <w:b/>
        </w:rPr>
        <w:t>E. 3.4</w:t>
      </w:r>
    </w:p>
    <w:p>
      <w:r>
        <w:t>Insgesamt kann daher festgehalten werden, dass die Vorinstanz zutreffend erkannt hat, dass das quadratische und das runde Armbanduhrenmodell der Beklagten die klägerischen Modelle DM/034 818 (quadratisches Armbanduhrenmodell) und DM/035 899 (rundes Armbanduhrenmodell) weder unter dem Gesichtspunkt der MMG noch unter demjenigen des DesG verletzen. Bezüglich dem klägerischen Modell DM/035 899 (rechteckiges Armbanduhrenmodell) wird wie eingangs erwähnt keine Verletzung mehr durch das entsprechende beklagtische Modell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